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F64B" w14:textId="77777777" w:rsidR="00720711" w:rsidRDefault="00720711" w:rsidP="00720711">
      <w:pPr>
        <w:tabs>
          <w:tab w:val="left" w:pos="1139"/>
          <w:tab w:val="left" w:pos="2255"/>
          <w:tab w:val="left" w:pos="3418"/>
          <w:tab w:val="left" w:pos="5087"/>
          <w:tab w:val="left" w:pos="6678"/>
        </w:tabs>
        <w:rPr>
          <w:noProof/>
        </w:rPr>
      </w:pPr>
    </w:p>
    <w:tbl>
      <w:tblPr>
        <w:tblStyle w:val="TabelLoss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720711" w14:paraId="1B2343DE" w14:textId="77777777" w:rsidTr="00E93707">
        <w:trPr>
          <w:cnfStyle w:val="100000000000" w:firstRow="1" w:lastRow="0" w:firstColumn="0" w:lastColumn="0" w:oddVBand="0" w:evenVBand="0" w:oddHBand="0" w:evenHBand="0" w:firstRowFirstColumn="0" w:firstRowLastColumn="0" w:lastRowFirstColumn="0" w:lastRowLastColumn="0"/>
          <w:trHeight w:val="1927"/>
        </w:trPr>
        <w:tc>
          <w:tcPr>
            <w:tcW w:w="5000" w:type="pct"/>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28ED2BA4" w14:textId="77777777" w:rsidR="00720711" w:rsidRDefault="00720711" w:rsidP="007C40AD">
            <w:pPr>
              <w:rPr>
                <w:b w:val="0"/>
                <w:sz w:val="16"/>
              </w:rPr>
            </w:pPr>
            <w:r>
              <w:rPr>
                <w:noProof/>
              </w:rPr>
              <w:drawing>
                <wp:anchor distT="0" distB="0" distL="114300" distR="114300" simplePos="0" relativeHeight="251660288" behindDoc="1" locked="0" layoutInCell="1" allowOverlap="1" wp14:anchorId="5AFC1C04" wp14:editId="14CBBB9E">
                  <wp:simplePos x="0" y="0"/>
                  <wp:positionH relativeFrom="column">
                    <wp:posOffset>731029</wp:posOffset>
                  </wp:positionH>
                  <wp:positionV relativeFrom="paragraph">
                    <wp:posOffset>156845</wp:posOffset>
                  </wp:positionV>
                  <wp:extent cx="957532" cy="957532"/>
                  <wp:effectExtent l="0" t="0" r="0" b="0"/>
                  <wp:wrapNone/>
                  <wp:docPr id="1457121742" name="Afbeelding 1" descr="Afbeelding met Graphics, cirke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21742" name="Afbeelding 1" descr="Afbeelding met Graphics, cirkel, logo, Lettertype&#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532" cy="957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297">
              <w:rPr>
                <w:noProof/>
                <w:u w:val="single"/>
              </w:rPr>
              <w:drawing>
                <wp:anchor distT="0" distB="0" distL="114300" distR="114300" simplePos="0" relativeHeight="251659264" behindDoc="1" locked="0" layoutInCell="1" allowOverlap="1" wp14:anchorId="66E96108" wp14:editId="223C586F">
                  <wp:simplePos x="0" y="0"/>
                  <wp:positionH relativeFrom="column">
                    <wp:posOffset>-9477</wp:posOffset>
                  </wp:positionH>
                  <wp:positionV relativeFrom="paragraph">
                    <wp:posOffset>81664</wp:posOffset>
                  </wp:positionV>
                  <wp:extent cx="586596" cy="1110490"/>
                  <wp:effectExtent l="0" t="0" r="4445" b="0"/>
                  <wp:wrapNone/>
                  <wp:docPr id="4" name="Afbeelding 4" descr="Afbeelding met teks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ymbool&#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596" cy="111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FFB7C" w14:textId="0C47E216" w:rsidR="00720711" w:rsidRDefault="00720711" w:rsidP="007C40AD">
            <w:pPr>
              <w:rPr>
                <w:b w:val="0"/>
                <w:sz w:val="16"/>
              </w:rPr>
            </w:pPr>
          </w:p>
          <w:p w14:paraId="534F93C5" w14:textId="1DA2DEBE" w:rsidR="00720711" w:rsidRDefault="00720711" w:rsidP="007C40AD">
            <w:pPr>
              <w:tabs>
                <w:tab w:val="left" w:pos="1155"/>
              </w:tabs>
              <w:rPr>
                <w:b w:val="0"/>
                <w:sz w:val="16"/>
              </w:rPr>
            </w:pPr>
            <w:r>
              <w:tab/>
            </w:r>
          </w:p>
          <w:p w14:paraId="2EE4D099" w14:textId="77777777" w:rsidR="00720711" w:rsidRPr="004C6596" w:rsidRDefault="00720711" w:rsidP="007C40AD">
            <w:pPr>
              <w:tabs>
                <w:tab w:val="left" w:pos="3206"/>
                <w:tab w:val="left" w:pos="5352"/>
                <w:tab w:val="left" w:pos="7635"/>
              </w:tabs>
            </w:pPr>
            <w:r>
              <w:tab/>
            </w:r>
            <w:r>
              <w:tab/>
            </w:r>
            <w:r>
              <w:tab/>
            </w:r>
          </w:p>
        </w:tc>
      </w:tr>
    </w:tbl>
    <w:p w14:paraId="278D7782" w14:textId="792E7563" w:rsidR="00720711" w:rsidRPr="00720711" w:rsidRDefault="00720711" w:rsidP="00720711">
      <w:pPr>
        <w:rPr>
          <w:noProof/>
          <w:color w:val="000000" w:themeColor="text1"/>
          <w:sz w:val="22"/>
          <w:szCs w:val="22"/>
        </w:rPr>
      </w:pPr>
      <w:r>
        <w:rPr>
          <w:noProof/>
          <w:color w:val="000000" w:themeColor="text1"/>
          <w:sz w:val="22"/>
          <w:szCs w:val="22"/>
        </w:rPr>
        <w:t xml:space="preserve">        </w:t>
      </w:r>
    </w:p>
    <w:tbl>
      <w:tblPr>
        <w:tblStyle w:val="Rastertabel4-Accent1"/>
        <w:tblW w:w="5000" w:type="pct"/>
        <w:tblLook w:val="04A0" w:firstRow="1" w:lastRow="0" w:firstColumn="1" w:lastColumn="0" w:noHBand="0" w:noVBand="1"/>
      </w:tblPr>
      <w:tblGrid>
        <w:gridCol w:w="2832"/>
        <w:gridCol w:w="1558"/>
        <w:gridCol w:w="1982"/>
        <w:gridCol w:w="3257"/>
      </w:tblGrid>
      <w:tr w:rsidR="00720711" w14:paraId="3B608BCA" w14:textId="77777777" w:rsidTr="00720711">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000" w:type="pct"/>
            <w:gridSpan w:val="4"/>
          </w:tcPr>
          <w:p w14:paraId="23E8F736" w14:textId="5B02A914" w:rsidR="00720711" w:rsidRDefault="00720711" w:rsidP="007C40AD">
            <w:r>
              <w:t>In te vullen door de raadsgriffie</w:t>
            </w:r>
          </w:p>
        </w:tc>
      </w:tr>
      <w:tr w:rsidR="00720711" w14:paraId="7652EE47" w14:textId="77777777" w:rsidTr="0072071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71" w:type="pct"/>
          </w:tcPr>
          <w:p w14:paraId="01DF8E91" w14:textId="08208D08" w:rsidR="00720711" w:rsidRPr="00720711" w:rsidRDefault="00720711" w:rsidP="007C40AD">
            <w:pPr>
              <w:rPr>
                <w:rFonts w:ascii="Arial" w:hAnsi="Arial" w:cs="Arial"/>
                <w:b w:val="0"/>
                <w:bCs w:val="0"/>
                <w:sz w:val="18"/>
                <w:szCs w:val="18"/>
              </w:rPr>
            </w:pPr>
            <w:r w:rsidRPr="00720711">
              <w:rPr>
                <w:rFonts w:ascii="Arial" w:hAnsi="Arial" w:cs="Arial"/>
                <w:b w:val="0"/>
                <w:bCs w:val="0"/>
                <w:sz w:val="18"/>
                <w:szCs w:val="18"/>
              </w:rPr>
              <w:t>Motie</w:t>
            </w:r>
            <w:r w:rsidR="00A4415C">
              <w:rPr>
                <w:rFonts w:ascii="Arial" w:hAnsi="Arial" w:cs="Arial"/>
                <w:b w:val="0"/>
                <w:bCs w:val="0"/>
                <w:sz w:val="18"/>
                <w:szCs w:val="18"/>
              </w:rPr>
              <w:t xml:space="preserve"> </w:t>
            </w:r>
            <w:r w:rsidRPr="00720711">
              <w:rPr>
                <w:rFonts w:ascii="Arial" w:hAnsi="Arial" w:cs="Arial"/>
                <w:b w:val="0"/>
                <w:bCs w:val="0"/>
                <w:sz w:val="18"/>
                <w:szCs w:val="18"/>
              </w:rPr>
              <w:t>nummer</w:t>
            </w:r>
          </w:p>
        </w:tc>
        <w:tc>
          <w:tcPr>
            <w:tcW w:w="809" w:type="pct"/>
          </w:tcPr>
          <w:p w14:paraId="786CFD68" w14:textId="7F2657A7" w:rsidR="00720711" w:rsidRPr="00720711" w:rsidRDefault="00DC1533"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2024.10.000</w:t>
            </w:r>
          </w:p>
        </w:tc>
        <w:tc>
          <w:tcPr>
            <w:tcW w:w="1029" w:type="pct"/>
          </w:tcPr>
          <w:p w14:paraId="0842697C" w14:textId="77777777" w:rsidR="00720711" w:rsidRPr="00720711" w:rsidRDefault="00720711"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0711">
              <w:rPr>
                <w:rFonts w:ascii="Arial" w:hAnsi="Arial" w:cs="Arial"/>
                <w:sz w:val="18"/>
                <w:szCs w:val="18"/>
              </w:rPr>
              <w:t>Indiener</w:t>
            </w:r>
          </w:p>
        </w:tc>
        <w:tc>
          <w:tcPr>
            <w:tcW w:w="1691" w:type="pct"/>
          </w:tcPr>
          <w:p w14:paraId="76D57769" w14:textId="6F35D3EF" w:rsidR="00720711" w:rsidRPr="00720711" w:rsidRDefault="00DC1533"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E.C. (Lies) ter Haar</w:t>
            </w:r>
          </w:p>
        </w:tc>
      </w:tr>
      <w:tr w:rsidR="00720711" w14:paraId="6586ADA9" w14:textId="77777777" w:rsidTr="00720711">
        <w:trPr>
          <w:trHeight w:val="341"/>
        </w:trPr>
        <w:tc>
          <w:tcPr>
            <w:cnfStyle w:val="001000000000" w:firstRow="0" w:lastRow="0" w:firstColumn="1" w:lastColumn="0" w:oddVBand="0" w:evenVBand="0" w:oddHBand="0" w:evenHBand="0" w:firstRowFirstColumn="0" w:firstRowLastColumn="0" w:lastRowFirstColumn="0" w:lastRowLastColumn="0"/>
            <w:tcW w:w="1471" w:type="pct"/>
          </w:tcPr>
          <w:p w14:paraId="668C12CD" w14:textId="77777777" w:rsidR="00720711" w:rsidRPr="00720711" w:rsidRDefault="00720711" w:rsidP="007C40AD">
            <w:pPr>
              <w:rPr>
                <w:rFonts w:ascii="Arial" w:hAnsi="Arial" w:cs="Arial"/>
                <w:b w:val="0"/>
                <w:bCs w:val="0"/>
                <w:sz w:val="18"/>
                <w:szCs w:val="18"/>
              </w:rPr>
            </w:pPr>
            <w:r w:rsidRPr="00720711">
              <w:rPr>
                <w:rFonts w:ascii="Arial" w:hAnsi="Arial" w:cs="Arial"/>
                <w:b w:val="0"/>
                <w:bCs w:val="0"/>
                <w:sz w:val="18"/>
                <w:szCs w:val="18"/>
              </w:rPr>
              <w:t>Agendapunt</w:t>
            </w:r>
          </w:p>
        </w:tc>
        <w:tc>
          <w:tcPr>
            <w:tcW w:w="809" w:type="pct"/>
          </w:tcPr>
          <w:p w14:paraId="26BA29CD" w14:textId="697DC535" w:rsidR="00720711" w:rsidRPr="00720711" w:rsidRDefault="00720711" w:rsidP="007C40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29" w:type="pct"/>
          </w:tcPr>
          <w:p w14:paraId="4EE26375" w14:textId="77777777" w:rsidR="00720711" w:rsidRPr="00720711" w:rsidRDefault="00720711" w:rsidP="007C40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0711">
              <w:rPr>
                <w:rFonts w:ascii="Arial" w:hAnsi="Arial" w:cs="Arial"/>
                <w:sz w:val="18"/>
                <w:szCs w:val="18"/>
              </w:rPr>
              <w:t>Behandelwijze</w:t>
            </w:r>
          </w:p>
        </w:tc>
        <w:tc>
          <w:tcPr>
            <w:tcW w:w="1691" w:type="pct"/>
          </w:tcPr>
          <w:p w14:paraId="5E0E4C01" w14:textId="6F2CBB2A" w:rsidR="00720711" w:rsidRPr="00720711" w:rsidRDefault="00720711" w:rsidP="007C40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20711" w14:paraId="56A87A20" w14:textId="77777777" w:rsidTr="0072071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471" w:type="pct"/>
          </w:tcPr>
          <w:p w14:paraId="7AC10A6D" w14:textId="77777777" w:rsidR="00720711" w:rsidRPr="00720711" w:rsidRDefault="00720711" w:rsidP="007C40AD">
            <w:pPr>
              <w:rPr>
                <w:rFonts w:ascii="Arial" w:hAnsi="Arial" w:cs="Arial"/>
                <w:b w:val="0"/>
                <w:bCs w:val="0"/>
                <w:sz w:val="18"/>
                <w:szCs w:val="18"/>
              </w:rPr>
            </w:pPr>
            <w:r w:rsidRPr="00720711">
              <w:rPr>
                <w:rFonts w:ascii="Arial" w:hAnsi="Arial" w:cs="Arial"/>
                <w:b w:val="0"/>
                <w:bCs w:val="0"/>
                <w:sz w:val="18"/>
                <w:szCs w:val="18"/>
              </w:rPr>
              <w:t>Datum beraadslagingen</w:t>
            </w:r>
          </w:p>
        </w:tc>
        <w:tc>
          <w:tcPr>
            <w:tcW w:w="809" w:type="pct"/>
          </w:tcPr>
          <w:p w14:paraId="5AB9F63A" w14:textId="1938B802" w:rsidR="00720711" w:rsidRPr="00720711" w:rsidRDefault="00DC1533"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oktober 2024</w:t>
            </w:r>
          </w:p>
        </w:tc>
        <w:tc>
          <w:tcPr>
            <w:tcW w:w="1029" w:type="pct"/>
          </w:tcPr>
          <w:p w14:paraId="2B27E803" w14:textId="77777777" w:rsidR="00720711" w:rsidRPr="00720711" w:rsidRDefault="00720711"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0711">
              <w:rPr>
                <w:rFonts w:ascii="Arial" w:hAnsi="Arial" w:cs="Arial"/>
                <w:sz w:val="18"/>
                <w:szCs w:val="18"/>
              </w:rPr>
              <w:t>Uitslag stemming</w:t>
            </w:r>
          </w:p>
        </w:tc>
        <w:tc>
          <w:tcPr>
            <w:tcW w:w="1691" w:type="pct"/>
          </w:tcPr>
          <w:p w14:paraId="34FC85DF" w14:textId="4C4ED324" w:rsidR="00720711" w:rsidRPr="00720711" w:rsidRDefault="00720711" w:rsidP="007C40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18620DB8" w14:textId="77777777" w:rsidR="00720711" w:rsidRDefault="00720711" w:rsidP="00720711">
      <w:pPr>
        <w:rPr>
          <w:sz w:val="18"/>
          <w:szCs w:val="18"/>
        </w:rPr>
      </w:pPr>
    </w:p>
    <w:p w14:paraId="172B2472" w14:textId="7D74A627" w:rsidR="001211C4" w:rsidRPr="008003A4" w:rsidRDefault="00720711" w:rsidP="00720711">
      <w:pPr>
        <w:rPr>
          <w:rFonts w:ascii="Arial" w:hAnsi="Arial" w:cs="Arial"/>
        </w:rPr>
        <w:sectPr w:rsidR="001211C4" w:rsidRPr="008003A4" w:rsidSect="00720711">
          <w:headerReference w:type="default" r:id="rId9"/>
          <w:pgSz w:w="11906" w:h="16838"/>
          <w:pgMar w:top="1701" w:right="1133" w:bottom="1417" w:left="1134" w:header="708" w:footer="454" w:gutter="0"/>
          <w:cols w:space="708"/>
          <w:docGrid w:linePitch="360"/>
        </w:sectPr>
      </w:pPr>
      <w:r w:rsidRPr="00720711">
        <w:rPr>
          <w:rFonts w:ascii="Arial" w:hAnsi="Arial" w:cs="Arial"/>
          <w:b/>
          <w:bCs/>
        </w:rPr>
        <w:t xml:space="preserve">Titel motie: </w:t>
      </w:r>
      <w:r w:rsidR="004D175F">
        <w:rPr>
          <w:rFonts w:ascii="Arial" w:hAnsi="Arial" w:cs="Arial"/>
        </w:rPr>
        <w:t>Geen onomkeerbare besluiten binnen de EST</w:t>
      </w:r>
    </w:p>
    <w:p w14:paraId="380A1526" w14:textId="77777777" w:rsidR="00720711" w:rsidRPr="00720711" w:rsidRDefault="00720711" w:rsidP="00720711">
      <w:pPr>
        <w:rPr>
          <w:rFonts w:ascii="Arial" w:hAnsi="Arial" w:cs="Arial"/>
          <w:sz w:val="18"/>
          <w:szCs w:val="18"/>
        </w:rPr>
      </w:pPr>
    </w:p>
    <w:p w14:paraId="75DA1470" w14:textId="77777777" w:rsidR="00720711" w:rsidRPr="00720711" w:rsidRDefault="00720711" w:rsidP="00720711">
      <w:pPr>
        <w:rPr>
          <w:rFonts w:ascii="Arial" w:hAnsi="Arial" w:cs="Arial"/>
          <w:b/>
          <w:bCs/>
        </w:rPr>
      </w:pPr>
      <w:r w:rsidRPr="00720711">
        <w:rPr>
          <w:rFonts w:ascii="Arial" w:hAnsi="Arial" w:cs="Arial"/>
          <w:b/>
          <w:bCs/>
        </w:rPr>
        <w:t>Constaterende dat:</w:t>
      </w:r>
    </w:p>
    <w:p w14:paraId="7C7BDE67" w14:textId="77777777" w:rsidR="00D0573E" w:rsidRDefault="00DC1533" w:rsidP="00D0573E">
      <w:pPr>
        <w:pStyle w:val="Lijstalinea"/>
        <w:numPr>
          <w:ilvl w:val="0"/>
          <w:numId w:val="1"/>
        </w:numPr>
        <w:rPr>
          <w:rFonts w:ascii="Arial" w:hAnsi="Arial" w:cs="Arial"/>
        </w:rPr>
      </w:pPr>
      <w:r>
        <w:rPr>
          <w:rFonts w:ascii="Arial" w:hAnsi="Arial" w:cs="Arial"/>
        </w:rPr>
        <w:t>Er geen vervolg komt op de vastgestelde Regionale Energiestrategie (RES) 1.0, maar daarvoor in de plaats een uitvoeringsprogramma genaamd de Energiestrategie Twente (EST).</w:t>
      </w:r>
    </w:p>
    <w:p w14:paraId="188C5B42" w14:textId="08E8DB30" w:rsidR="00720711" w:rsidRPr="00D0573E" w:rsidRDefault="00D0573E" w:rsidP="00D0573E">
      <w:pPr>
        <w:pStyle w:val="Lijstalinea"/>
        <w:numPr>
          <w:ilvl w:val="0"/>
          <w:numId w:val="1"/>
        </w:numPr>
        <w:rPr>
          <w:rFonts w:ascii="Arial" w:hAnsi="Arial" w:cs="Arial"/>
        </w:rPr>
      </w:pPr>
      <w:r>
        <w:rPr>
          <w:rFonts w:ascii="Arial" w:hAnsi="Arial" w:cs="Arial"/>
        </w:rPr>
        <w:t>In de EST de volgende zin is opgenomen (pag. 11): “</w:t>
      </w:r>
      <w:r w:rsidRPr="00D0573E">
        <w:rPr>
          <w:rFonts w:ascii="Arial" w:hAnsi="Arial" w:cs="Arial"/>
        </w:rPr>
        <w:t>De RES-partners zijn aan de regionale doelen gebonden door</w:t>
      </w:r>
      <w:r>
        <w:rPr>
          <w:rFonts w:ascii="Arial" w:hAnsi="Arial" w:cs="Arial"/>
        </w:rPr>
        <w:t xml:space="preserve"> </w:t>
      </w:r>
      <w:r w:rsidRPr="00D0573E">
        <w:rPr>
          <w:rFonts w:ascii="Arial" w:hAnsi="Arial" w:cs="Arial"/>
        </w:rPr>
        <w:t>‘</w:t>
      </w:r>
      <w:r w:rsidRPr="00D0573E">
        <w:rPr>
          <w:rFonts w:ascii="Arial" w:hAnsi="Arial" w:cs="Arial"/>
          <w:b/>
          <w:bCs/>
        </w:rPr>
        <w:t>zelfbinding</w:t>
      </w:r>
      <w:r w:rsidRPr="00D0573E">
        <w:rPr>
          <w:rFonts w:ascii="Arial" w:hAnsi="Arial" w:cs="Arial"/>
        </w:rPr>
        <w:t>’: de gemeenten, provincies en waterschappen stellen de</w:t>
      </w:r>
      <w:r>
        <w:rPr>
          <w:rFonts w:ascii="Arial" w:hAnsi="Arial" w:cs="Arial"/>
        </w:rPr>
        <w:t xml:space="preserve"> </w:t>
      </w:r>
      <w:r w:rsidRPr="00D0573E">
        <w:rPr>
          <w:rFonts w:ascii="Arial" w:hAnsi="Arial" w:cs="Arial"/>
        </w:rPr>
        <w:t>RES vast als onderdeel van het eigen beleid</w:t>
      </w:r>
      <w:r>
        <w:rPr>
          <w:rFonts w:ascii="Arial" w:hAnsi="Arial" w:cs="Arial"/>
        </w:rPr>
        <w:t xml:space="preserve">. </w:t>
      </w:r>
    </w:p>
    <w:p w14:paraId="5B95B9B5" w14:textId="77777777" w:rsidR="00720711" w:rsidRPr="00720711" w:rsidRDefault="00720711" w:rsidP="00720711">
      <w:pPr>
        <w:rPr>
          <w:rFonts w:ascii="Arial" w:hAnsi="Arial" w:cs="Arial"/>
          <w:b/>
          <w:bCs/>
        </w:rPr>
      </w:pPr>
      <w:r w:rsidRPr="00720711">
        <w:rPr>
          <w:rFonts w:ascii="Arial" w:hAnsi="Arial" w:cs="Arial"/>
          <w:b/>
          <w:bCs/>
        </w:rPr>
        <w:t>Overwegende dat:</w:t>
      </w:r>
    </w:p>
    <w:p w14:paraId="1A024094" w14:textId="15BF4E91" w:rsidR="00720711" w:rsidRPr="00720711" w:rsidRDefault="00DC1533" w:rsidP="00720711">
      <w:pPr>
        <w:pStyle w:val="Lijstalinea"/>
        <w:numPr>
          <w:ilvl w:val="0"/>
          <w:numId w:val="2"/>
        </w:numPr>
        <w:rPr>
          <w:rFonts w:ascii="Arial" w:hAnsi="Arial" w:cs="Arial"/>
        </w:rPr>
      </w:pPr>
      <w:r>
        <w:rPr>
          <w:rFonts w:ascii="Arial" w:hAnsi="Arial" w:cs="Arial"/>
        </w:rPr>
        <w:t xml:space="preserve">De democratische gehalte in de EST niet ten goede komt, gelezen het </w:t>
      </w:r>
      <w:r w:rsidR="00D0573E">
        <w:rPr>
          <w:rFonts w:ascii="Arial" w:hAnsi="Arial" w:cs="Arial"/>
        </w:rPr>
        <w:t>besluitvormings</w:t>
      </w:r>
      <w:r>
        <w:rPr>
          <w:rFonts w:ascii="Arial" w:hAnsi="Arial" w:cs="Arial"/>
        </w:rPr>
        <w:t>mandaat uitsluitend voor het college is weggelegd</w:t>
      </w:r>
      <w:r w:rsidR="00D0573E">
        <w:rPr>
          <w:rFonts w:ascii="Arial" w:hAnsi="Arial" w:cs="Arial"/>
        </w:rPr>
        <w:t>;</w:t>
      </w:r>
    </w:p>
    <w:p w14:paraId="219B1C45" w14:textId="707A5B45" w:rsidR="00D0573E" w:rsidRDefault="00D0573E" w:rsidP="00D0573E">
      <w:pPr>
        <w:pStyle w:val="Lijstalinea"/>
        <w:numPr>
          <w:ilvl w:val="0"/>
          <w:numId w:val="2"/>
        </w:numPr>
        <w:rPr>
          <w:rFonts w:ascii="Arial" w:hAnsi="Arial" w:cs="Arial"/>
        </w:rPr>
      </w:pPr>
      <w:r>
        <w:rPr>
          <w:rFonts w:ascii="Arial" w:hAnsi="Arial" w:cs="Arial"/>
        </w:rPr>
        <w:t xml:space="preserve">Onbekend is wat de term: “zelfbinding” behelst. </w:t>
      </w:r>
    </w:p>
    <w:p w14:paraId="46BBBDD5" w14:textId="7AE729FB" w:rsidR="00D0573E" w:rsidRDefault="00D0573E" w:rsidP="00D0573E">
      <w:pPr>
        <w:pStyle w:val="Lijstalinea"/>
        <w:numPr>
          <w:ilvl w:val="0"/>
          <w:numId w:val="2"/>
        </w:numPr>
        <w:rPr>
          <w:rFonts w:ascii="Arial" w:hAnsi="Arial" w:cs="Arial"/>
        </w:rPr>
      </w:pPr>
      <w:r>
        <w:rPr>
          <w:rFonts w:ascii="Arial" w:hAnsi="Arial" w:cs="Arial"/>
        </w:rPr>
        <w:t>De gemeenteraad de mogelijkheid wil laten onderzoeken in hoeverre er mogelijk beroep kan worden gedaan op het ‘</w:t>
      </w:r>
      <w:r w:rsidRPr="00D0573E">
        <w:rPr>
          <w:rFonts w:ascii="Arial" w:hAnsi="Arial" w:cs="Arial"/>
          <w:i/>
          <w:iCs/>
        </w:rPr>
        <w:t>actus contrariusbeginsel</w:t>
      </w:r>
      <w:r>
        <w:rPr>
          <w:rFonts w:ascii="Arial" w:hAnsi="Arial" w:cs="Arial"/>
          <w:i/>
          <w:iCs/>
        </w:rPr>
        <w:t>’</w:t>
      </w:r>
      <w:r>
        <w:rPr>
          <w:rFonts w:ascii="Arial" w:hAnsi="Arial" w:cs="Arial"/>
        </w:rPr>
        <w:t xml:space="preserve">. </w:t>
      </w:r>
    </w:p>
    <w:p w14:paraId="52A5695A" w14:textId="77777777" w:rsidR="00720711" w:rsidRPr="00720711" w:rsidRDefault="00720711" w:rsidP="00720711">
      <w:pPr>
        <w:rPr>
          <w:rFonts w:ascii="Arial" w:hAnsi="Arial" w:cs="Arial"/>
          <w:sz w:val="18"/>
          <w:szCs w:val="18"/>
        </w:rPr>
      </w:pPr>
    </w:p>
    <w:p w14:paraId="2EC77145" w14:textId="6E745B97" w:rsidR="00720711" w:rsidRPr="00720711" w:rsidRDefault="00720711" w:rsidP="00720711">
      <w:pPr>
        <w:rPr>
          <w:rFonts w:ascii="Arial" w:hAnsi="Arial" w:cs="Arial"/>
          <w:b/>
          <w:bCs/>
        </w:rPr>
        <w:sectPr w:rsidR="00720711" w:rsidRPr="00720711" w:rsidSect="001211C4">
          <w:type w:val="continuous"/>
          <w:pgSz w:w="11906" w:h="16838"/>
          <w:pgMar w:top="1701" w:right="1133" w:bottom="1417" w:left="1134" w:header="708" w:footer="454" w:gutter="0"/>
          <w:cols w:space="708"/>
          <w:docGrid w:linePitch="360"/>
        </w:sectPr>
      </w:pPr>
      <w:r w:rsidRPr="00720711">
        <w:rPr>
          <w:rFonts w:ascii="Arial" w:hAnsi="Arial" w:cs="Arial"/>
          <w:b/>
          <w:bCs/>
        </w:rPr>
        <w:t>roept het college op:</w:t>
      </w:r>
    </w:p>
    <w:p w14:paraId="2B31056C" w14:textId="4173E956" w:rsidR="00720711" w:rsidRDefault="00D0573E" w:rsidP="00720711">
      <w:pPr>
        <w:pStyle w:val="Lijstalinea"/>
        <w:numPr>
          <w:ilvl w:val="0"/>
          <w:numId w:val="3"/>
        </w:numPr>
        <w:rPr>
          <w:rFonts w:ascii="Arial" w:hAnsi="Arial" w:cs="Arial"/>
        </w:rPr>
      </w:pPr>
      <w:r>
        <w:rPr>
          <w:rFonts w:ascii="Arial" w:hAnsi="Arial" w:cs="Arial"/>
        </w:rPr>
        <w:t>De raad via een raadsinformatiebrief te informeren wat de term “zelfbinding”behelst en welke gevolgen dit kan hebben voor de gemeente Losser en de positie van de gemeenteraad in dit dossier.</w:t>
      </w:r>
    </w:p>
    <w:p w14:paraId="157106FF" w14:textId="486EC5DF" w:rsidR="00720711" w:rsidRDefault="00D0573E" w:rsidP="00C931F0">
      <w:pPr>
        <w:pStyle w:val="Lijstalinea"/>
        <w:numPr>
          <w:ilvl w:val="0"/>
          <w:numId w:val="3"/>
        </w:numPr>
        <w:rPr>
          <w:rFonts w:ascii="Arial" w:hAnsi="Arial" w:cs="Arial"/>
        </w:rPr>
      </w:pPr>
      <w:r>
        <w:rPr>
          <w:rFonts w:ascii="Arial" w:hAnsi="Arial" w:cs="Arial"/>
        </w:rPr>
        <w:t xml:space="preserve">De raad via dezelfde raadsinformatiebrief te informeren in hoeverre </w:t>
      </w:r>
      <w:r w:rsidR="00C931F0">
        <w:rPr>
          <w:rFonts w:ascii="Arial" w:hAnsi="Arial" w:cs="Arial"/>
        </w:rPr>
        <w:t xml:space="preserve">beroep kan worden gedaan op de ‘actus contrariusbeginsel’. </w:t>
      </w:r>
    </w:p>
    <w:p w14:paraId="799AC815" w14:textId="4B28334E" w:rsidR="00C931F0" w:rsidRPr="00C931F0" w:rsidRDefault="00C931F0" w:rsidP="00C931F0">
      <w:pPr>
        <w:pStyle w:val="Lijstalinea"/>
        <w:numPr>
          <w:ilvl w:val="0"/>
          <w:numId w:val="3"/>
        </w:numPr>
        <w:rPr>
          <w:rFonts w:ascii="Arial" w:hAnsi="Arial" w:cs="Arial"/>
        </w:rPr>
      </w:pPr>
      <w:r>
        <w:rPr>
          <w:rFonts w:ascii="Arial" w:hAnsi="Arial" w:cs="Arial"/>
        </w:rPr>
        <w:t xml:space="preserve">De raad via dezelfde raadsinformatiebrief te informeren wat de voorliggende EST betekent voor de status van het Noordoost Twentse RES-bod en in hoeverre de doelstellingen die daarin stonden geformuleerd nog haalbaal zijn. </w:t>
      </w:r>
    </w:p>
    <w:p w14:paraId="2C2620A8" w14:textId="77777777" w:rsidR="00720711" w:rsidRPr="00720711" w:rsidRDefault="00720711" w:rsidP="00720711">
      <w:pPr>
        <w:rPr>
          <w:rFonts w:ascii="Arial" w:hAnsi="Arial" w:cs="Arial"/>
        </w:rPr>
      </w:pPr>
    </w:p>
    <w:p w14:paraId="120093A8" w14:textId="13E82906" w:rsidR="00D0573E" w:rsidRPr="00720711" w:rsidRDefault="00D0573E" w:rsidP="00D0573E">
      <w:pPr>
        <w:rPr>
          <w:rFonts w:ascii="Arial" w:hAnsi="Arial" w:cs="Arial"/>
          <w:b/>
          <w:bCs/>
        </w:rPr>
        <w:sectPr w:rsidR="00D0573E" w:rsidRPr="00720711" w:rsidSect="00D0573E">
          <w:type w:val="continuous"/>
          <w:pgSz w:w="11906" w:h="16838"/>
          <w:pgMar w:top="1701" w:right="1133" w:bottom="1417" w:left="1134" w:header="708" w:footer="454" w:gutter="0"/>
          <w:cols w:space="708"/>
          <w:docGrid w:linePitch="360"/>
        </w:sectPr>
      </w:pPr>
      <w:r w:rsidRPr="00720711">
        <w:rPr>
          <w:rFonts w:ascii="Arial" w:hAnsi="Arial" w:cs="Arial"/>
          <w:b/>
          <w:bCs/>
        </w:rPr>
        <w:t xml:space="preserve">Draagt het college op </w:t>
      </w:r>
    </w:p>
    <w:p w14:paraId="55D1D8BB" w14:textId="7E83A0C8" w:rsidR="00D0573E" w:rsidRDefault="00C931F0" w:rsidP="00C931F0">
      <w:pPr>
        <w:pStyle w:val="Lijstalinea"/>
        <w:numPr>
          <w:ilvl w:val="0"/>
          <w:numId w:val="3"/>
        </w:numPr>
        <w:rPr>
          <w:rFonts w:ascii="Arial" w:hAnsi="Arial" w:cs="Arial"/>
        </w:rPr>
      </w:pPr>
      <w:r>
        <w:rPr>
          <w:rFonts w:ascii="Arial" w:hAnsi="Arial" w:cs="Arial"/>
        </w:rPr>
        <w:t xml:space="preserve">Geen verdere onomkeerbare besluiten te nemen binnen de Energiestrategie Twente alvorens de gemeenteraad een besluit heeft genomen over het voorliggende (en afzonderlijke onderdelen, die van toepassing zijn op de gemeente Losser, binnen de) EST. </w:t>
      </w:r>
    </w:p>
    <w:p w14:paraId="30809462" w14:textId="1AE87F80" w:rsidR="005936B8" w:rsidRDefault="005936B8" w:rsidP="00C931F0">
      <w:pPr>
        <w:pStyle w:val="Lijstalinea"/>
        <w:numPr>
          <w:ilvl w:val="0"/>
          <w:numId w:val="3"/>
        </w:numPr>
        <w:rPr>
          <w:rFonts w:ascii="Arial" w:hAnsi="Arial" w:cs="Arial"/>
        </w:rPr>
      </w:pPr>
      <w:r>
        <w:rPr>
          <w:rFonts w:ascii="Arial" w:hAnsi="Arial" w:cs="Arial"/>
        </w:rPr>
        <w:t xml:space="preserve">Én geen verdere uitvoering te geven de EST, zonder vooraf goedkeuring van de gemeenteraad. </w:t>
      </w:r>
    </w:p>
    <w:p w14:paraId="3E4EB371" w14:textId="0B5340C3" w:rsidR="00C931F0" w:rsidRPr="008003A4" w:rsidRDefault="00C931F0" w:rsidP="00C931F0">
      <w:pPr>
        <w:pStyle w:val="Lijstalinea"/>
        <w:numPr>
          <w:ilvl w:val="0"/>
          <w:numId w:val="3"/>
        </w:numPr>
        <w:rPr>
          <w:rFonts w:ascii="Arial" w:hAnsi="Arial" w:cs="Arial"/>
        </w:rPr>
      </w:pPr>
      <w:r w:rsidRPr="008003A4">
        <w:rPr>
          <w:rFonts w:ascii="Arial" w:hAnsi="Arial" w:cs="Arial"/>
        </w:rPr>
        <w:t xml:space="preserve">Deze motie breed te delen met alle gemeenteraden en colleges binnen de regio Twente. </w:t>
      </w:r>
    </w:p>
    <w:p w14:paraId="4DBF9377" w14:textId="77777777" w:rsidR="00720711" w:rsidRPr="00720711" w:rsidRDefault="00720711" w:rsidP="00720711">
      <w:pPr>
        <w:rPr>
          <w:rFonts w:ascii="Arial" w:hAnsi="Arial" w:cs="Arial"/>
        </w:rPr>
      </w:pPr>
    </w:p>
    <w:p w14:paraId="33B72FF9" w14:textId="77777777" w:rsidR="00A4415C" w:rsidRDefault="00A4415C" w:rsidP="00720711">
      <w:pPr>
        <w:rPr>
          <w:rFonts w:ascii="Arial" w:hAnsi="Arial" w:cs="Arial"/>
          <w:i/>
          <w:iCs/>
        </w:rPr>
      </w:pPr>
    </w:p>
    <w:p w14:paraId="54572959" w14:textId="77777777" w:rsidR="00A4415C" w:rsidRDefault="00A4415C" w:rsidP="00720711">
      <w:pPr>
        <w:rPr>
          <w:rFonts w:ascii="Arial" w:hAnsi="Arial" w:cs="Arial"/>
          <w:i/>
          <w:iCs/>
        </w:rPr>
      </w:pPr>
    </w:p>
    <w:p w14:paraId="49890C2E" w14:textId="2EDA0BF5" w:rsidR="00720711" w:rsidRPr="00720711" w:rsidRDefault="00720711" w:rsidP="00720711">
      <w:pPr>
        <w:rPr>
          <w:rFonts w:ascii="Arial" w:hAnsi="Arial" w:cs="Arial"/>
          <w:i/>
          <w:iCs/>
        </w:rPr>
      </w:pPr>
      <w:r w:rsidRPr="00720711">
        <w:rPr>
          <w:rFonts w:ascii="Arial" w:hAnsi="Arial" w:cs="Arial"/>
          <w:i/>
          <w:iCs/>
        </w:rPr>
        <w:t>En gaat over tot de orde van de dag</w:t>
      </w:r>
    </w:p>
    <w:p w14:paraId="29A51349" w14:textId="77777777" w:rsidR="00720711" w:rsidRPr="00720711" w:rsidRDefault="00720711" w:rsidP="00720711">
      <w:pPr>
        <w:rPr>
          <w:rFonts w:ascii="Arial" w:hAnsi="Arial" w:cs="Arial"/>
          <w:i/>
          <w:iCs/>
        </w:rPr>
      </w:pPr>
    </w:p>
    <w:p w14:paraId="3CE19171" w14:textId="77777777" w:rsidR="00720711" w:rsidRPr="00720711" w:rsidRDefault="00720711" w:rsidP="00720711">
      <w:pPr>
        <w:rPr>
          <w:rFonts w:ascii="Arial" w:hAnsi="Arial" w:cs="Arial"/>
        </w:rPr>
      </w:pPr>
    </w:p>
    <w:p w14:paraId="617184AF" w14:textId="5E029073" w:rsidR="00720711" w:rsidRPr="00C931F0" w:rsidRDefault="00C931F0" w:rsidP="00720711">
      <w:pPr>
        <w:rPr>
          <w:rFonts w:ascii="Arial" w:hAnsi="Arial" w:cs="Arial"/>
          <w:i/>
          <w:iCs/>
        </w:rPr>
      </w:pPr>
      <w:r>
        <w:rPr>
          <w:rFonts w:ascii="Arial" w:hAnsi="Arial" w:cs="Arial"/>
        </w:rPr>
        <w:t>E.C. (Lies) ter Haar</w:t>
      </w:r>
      <w:r>
        <w:rPr>
          <w:rFonts w:ascii="Arial" w:hAnsi="Arial" w:cs="Arial"/>
        </w:rPr>
        <w:tab/>
      </w:r>
      <w:r>
        <w:rPr>
          <w:rFonts w:ascii="Arial" w:hAnsi="Arial" w:cs="Arial"/>
        </w:rPr>
        <w:tab/>
      </w:r>
      <w:r>
        <w:rPr>
          <w:rFonts w:ascii="Arial" w:hAnsi="Arial" w:cs="Arial"/>
        </w:rPr>
        <w:tab/>
        <w:t>J.B.A. (Jurran) Visschedijk</w:t>
      </w:r>
      <w:r>
        <w:rPr>
          <w:rFonts w:ascii="Arial" w:hAnsi="Arial" w:cs="Arial"/>
        </w:rPr>
        <w:br/>
      </w:r>
      <w:r w:rsidRPr="00C931F0">
        <w:rPr>
          <w:rFonts w:ascii="Arial" w:hAnsi="Arial" w:cs="Arial"/>
          <w:i/>
          <w:iCs/>
        </w:rPr>
        <w:t>Raadslid, Burgerforum</w:t>
      </w:r>
      <w:r w:rsidRPr="00C931F0">
        <w:rPr>
          <w:rFonts w:ascii="Arial" w:hAnsi="Arial" w:cs="Arial"/>
          <w:i/>
          <w:iCs/>
        </w:rPr>
        <w:tab/>
      </w:r>
      <w:r w:rsidRPr="00C931F0">
        <w:rPr>
          <w:rFonts w:ascii="Arial" w:hAnsi="Arial" w:cs="Arial"/>
          <w:i/>
          <w:iCs/>
        </w:rPr>
        <w:tab/>
      </w:r>
      <w:r w:rsidRPr="00C931F0">
        <w:rPr>
          <w:rFonts w:ascii="Arial" w:hAnsi="Arial" w:cs="Arial"/>
          <w:i/>
          <w:iCs/>
        </w:rPr>
        <w:tab/>
        <w:t>Raadslid, CDA</w:t>
      </w:r>
    </w:p>
    <w:p w14:paraId="6D21F829" w14:textId="77777777" w:rsidR="001211C4" w:rsidRDefault="001211C4">
      <w:pPr>
        <w:sectPr w:rsidR="001211C4" w:rsidSect="001211C4">
          <w:type w:val="continuous"/>
          <w:pgSz w:w="11906" w:h="16838"/>
          <w:pgMar w:top="1701" w:right="1133" w:bottom="1417" w:left="1134" w:header="708" w:footer="708" w:gutter="0"/>
          <w:cols w:space="708"/>
          <w:docGrid w:linePitch="360"/>
        </w:sectPr>
      </w:pPr>
    </w:p>
    <w:p w14:paraId="07B98A23" w14:textId="77777777" w:rsidR="00782D05" w:rsidRDefault="00782D05"/>
    <w:p w14:paraId="655E1118" w14:textId="77777777" w:rsidR="004F6779" w:rsidRDefault="004F6779">
      <w:pPr>
        <w:rPr>
          <w:b/>
          <w:bCs/>
          <w:sz w:val="22"/>
          <w:szCs w:val="22"/>
        </w:rPr>
        <w:sectPr w:rsidR="004F6779" w:rsidSect="00BB4450">
          <w:type w:val="continuous"/>
          <w:pgSz w:w="11906" w:h="16838"/>
          <w:pgMar w:top="1701" w:right="1133" w:bottom="1417" w:left="1134" w:header="708" w:footer="708" w:gutter="0"/>
          <w:cols w:num="2" w:space="708"/>
          <w:docGrid w:linePitch="360"/>
        </w:sectPr>
      </w:pPr>
    </w:p>
    <w:p w14:paraId="73BFBA81" w14:textId="77777777" w:rsidR="004F6779" w:rsidRDefault="004F6779">
      <w:pPr>
        <w:rPr>
          <w:b/>
          <w:bCs/>
          <w:sz w:val="22"/>
          <w:szCs w:val="22"/>
        </w:rPr>
      </w:pPr>
    </w:p>
    <w:p w14:paraId="73C925A1" w14:textId="77777777" w:rsidR="004F6779" w:rsidRDefault="004F6779">
      <w:pPr>
        <w:rPr>
          <w:b/>
          <w:bCs/>
          <w:sz w:val="22"/>
          <w:szCs w:val="22"/>
        </w:rPr>
      </w:pPr>
    </w:p>
    <w:p w14:paraId="7EBCE3CE" w14:textId="77777777" w:rsidR="004F6779" w:rsidRDefault="004F6779">
      <w:pPr>
        <w:rPr>
          <w:b/>
          <w:bCs/>
          <w:sz w:val="22"/>
          <w:szCs w:val="22"/>
        </w:rPr>
      </w:pPr>
    </w:p>
    <w:p w14:paraId="501D2E08" w14:textId="77777777" w:rsidR="004F6779" w:rsidRDefault="004F6779">
      <w:pPr>
        <w:spacing w:after="160" w:line="259" w:lineRule="auto"/>
        <w:rPr>
          <w:b/>
          <w:bCs/>
          <w:i/>
          <w:iCs/>
          <w:sz w:val="22"/>
          <w:szCs w:val="22"/>
        </w:rPr>
      </w:pPr>
      <w:r>
        <w:rPr>
          <w:b/>
          <w:bCs/>
          <w:i/>
          <w:iCs/>
          <w:sz w:val="22"/>
          <w:szCs w:val="22"/>
        </w:rPr>
        <w:br w:type="page"/>
      </w:r>
    </w:p>
    <w:p w14:paraId="45467CD9" w14:textId="2F7C56DD" w:rsidR="004F6779" w:rsidRPr="004F6779" w:rsidRDefault="004F6779">
      <w:pPr>
        <w:rPr>
          <w:b/>
          <w:bCs/>
          <w:i/>
          <w:iCs/>
          <w:sz w:val="22"/>
          <w:szCs w:val="22"/>
        </w:rPr>
      </w:pPr>
      <w:r w:rsidRPr="004F6779">
        <w:rPr>
          <w:b/>
          <w:bCs/>
          <w:i/>
          <w:iCs/>
          <w:sz w:val="22"/>
          <w:szCs w:val="22"/>
        </w:rPr>
        <w:lastRenderedPageBreak/>
        <w:t>Toelichting begrip “actus contrariusbeginsel”</w:t>
      </w:r>
    </w:p>
    <w:p w14:paraId="36D129E5" w14:textId="77777777" w:rsidR="004F6779" w:rsidRDefault="004F6779">
      <w:pPr>
        <w:rPr>
          <w:b/>
          <w:bCs/>
          <w:sz w:val="22"/>
          <w:szCs w:val="22"/>
        </w:rPr>
      </w:pPr>
    </w:p>
    <w:p w14:paraId="39D8E721" w14:textId="15E6FE53" w:rsidR="004F6779" w:rsidRPr="004F6779" w:rsidRDefault="004F6779" w:rsidP="004F6779">
      <w:pPr>
        <w:rPr>
          <w:b/>
          <w:bCs/>
          <w:sz w:val="22"/>
          <w:szCs w:val="22"/>
        </w:rPr>
      </w:pPr>
      <w:r w:rsidRPr="004F6779">
        <w:rPr>
          <w:b/>
          <w:bCs/>
          <w:sz w:val="22"/>
          <w:szCs w:val="22"/>
        </w:rPr>
        <w:t>Wijzigings- en intrekkingsbesluiten</w:t>
      </w:r>
    </w:p>
    <w:p w14:paraId="5127BC85" w14:textId="77777777" w:rsidR="004F6779" w:rsidRPr="004F6779" w:rsidRDefault="004F6779" w:rsidP="004F6779">
      <w:pPr>
        <w:rPr>
          <w:sz w:val="22"/>
          <w:szCs w:val="22"/>
        </w:rPr>
      </w:pPr>
      <w:r w:rsidRPr="004F6779">
        <w:rPr>
          <w:sz w:val="22"/>
          <w:szCs w:val="22"/>
        </w:rPr>
        <w:t>In sommige wetten waarin de huidige afdeling 3.4 Awb van toepassing is verklaard op de voorbereiding van besluiten, is uitdrukkelijk geregeld dat die procedure ook van toepassing is op het wijzigen of intrekken van besluiten. Waar thans afdeling 3.5 Awb van toepassing is, is dit in beginsel steeds geregeld, aangezien voor wijzigings-en intrekkingsbesluiten een eigen voorbereidingsprocedure geldt (paragraaf 3.5.6 Awb).</w:t>
      </w:r>
    </w:p>
    <w:p w14:paraId="26634457" w14:textId="77777777" w:rsidR="004F6779" w:rsidRDefault="004F6779" w:rsidP="004F6779">
      <w:pPr>
        <w:rPr>
          <w:sz w:val="22"/>
          <w:szCs w:val="22"/>
        </w:rPr>
      </w:pPr>
      <w:r w:rsidRPr="004F6779">
        <w:rPr>
          <w:sz w:val="22"/>
          <w:szCs w:val="22"/>
        </w:rPr>
        <w:t>In de u.o.v. is geen onderscheid gemaakt tussen oorspronkelijke besluiten en wijzigings-of intrekkingsbesluiten.</w:t>
      </w:r>
    </w:p>
    <w:p w14:paraId="71F49DC2" w14:textId="77777777" w:rsidR="004F6779" w:rsidRDefault="004F6779" w:rsidP="004F6779">
      <w:pPr>
        <w:rPr>
          <w:sz w:val="22"/>
          <w:szCs w:val="22"/>
        </w:rPr>
      </w:pPr>
    </w:p>
    <w:p w14:paraId="1EF3384B" w14:textId="49418769" w:rsidR="004F6779" w:rsidRPr="008003A4" w:rsidRDefault="004F6779" w:rsidP="004F6779">
      <w:pPr>
        <w:rPr>
          <w:sz w:val="22"/>
          <w:szCs w:val="22"/>
        </w:rPr>
      </w:pPr>
      <w:r w:rsidRPr="004F6779">
        <w:rPr>
          <w:sz w:val="22"/>
          <w:szCs w:val="22"/>
        </w:rPr>
        <w:t>Indien de wet zwijgt over de toepasselijkheid van een voor het oorspronkelijke besluit geldende procedure op wijzigings-en intrekkingsbesluiten, vloeit volgens de bestuursrechtelijke doctrine uit het zogeheten actus contrariusbeginsel voort dat de procedurevoorschriften die gelden voor het oorspronkelijke besluit ook gelden voor de intrekking of wijziging daarvan, voor zover die procedurevoorschriften daarvoor een redelijke zin kunnen hebben.[4] Het van toepassing verklaren van de u.o.v. op een bepaald besluit veronderstelt dus in beginsel dat wijzigingen of de intrekking van dat besluit eveneens onderworpen zijn aan die procedure, tenzij dit geen redelijk doel dient</w:t>
      </w:r>
      <w:r w:rsidRPr="008003A4">
        <w:rPr>
          <w:sz w:val="22"/>
          <w:szCs w:val="22"/>
        </w:rPr>
        <w:t>. Anders gezegd: het intrekken van een besluit kan alleen door het gezag dat het besluit heeft vastgesteld en op de wijze</w:t>
      </w:r>
    </w:p>
    <w:p w14:paraId="083632E7" w14:textId="73C35C5A" w:rsidR="004F6779" w:rsidRDefault="004F6779" w:rsidP="004F6779">
      <w:pPr>
        <w:rPr>
          <w:sz w:val="22"/>
          <w:szCs w:val="22"/>
        </w:rPr>
      </w:pPr>
      <w:r w:rsidRPr="008003A4">
        <w:rPr>
          <w:sz w:val="22"/>
          <w:szCs w:val="22"/>
        </w:rPr>
        <w:t xml:space="preserve"> waarop dat besluit is vastgesteld.</w:t>
      </w:r>
    </w:p>
    <w:p w14:paraId="3A799717" w14:textId="329F1650" w:rsidR="002E17ED" w:rsidRDefault="002E17ED" w:rsidP="004F6779">
      <w:pPr>
        <w:rPr>
          <w:sz w:val="22"/>
          <w:szCs w:val="22"/>
        </w:rPr>
      </w:pPr>
      <w:r>
        <w:rPr>
          <w:sz w:val="22"/>
          <w:szCs w:val="22"/>
        </w:rPr>
        <w:t>--</w:t>
      </w:r>
    </w:p>
    <w:p w14:paraId="3AB006AD" w14:textId="4150677F" w:rsidR="002E17ED" w:rsidRDefault="002E17ED" w:rsidP="004F6779">
      <w:pPr>
        <w:rPr>
          <w:sz w:val="22"/>
          <w:szCs w:val="22"/>
        </w:rPr>
      </w:pPr>
      <w:r>
        <w:rPr>
          <w:sz w:val="22"/>
          <w:szCs w:val="22"/>
        </w:rPr>
        <w:t xml:space="preserve">Als van formele intrekking (nog) geen sprake is, maar de RES feitelijk wordt ingehaald en vervangen door een nieuwe regeling, ontstaat verwarring en rechtsonzekerheid over de inhoud van het beleid en over bevoegdheden. </w:t>
      </w:r>
    </w:p>
    <w:p w14:paraId="2D02D3E2" w14:textId="43FF4808" w:rsidR="002E17ED" w:rsidRPr="004F6779" w:rsidRDefault="002E17ED" w:rsidP="004F6779">
      <w:pPr>
        <w:rPr>
          <w:sz w:val="22"/>
          <w:szCs w:val="22"/>
        </w:rPr>
      </w:pPr>
      <w:r>
        <w:rPr>
          <w:sz w:val="22"/>
          <w:szCs w:val="22"/>
        </w:rPr>
        <w:t>Op grond van de “Aanwijzingen voor de regelgeving” (Stcrt. 2017, 69426) is de intrekking van de oude regeling bij invoering van een nieuwe ook noodzakelijk met het oog op overgangsrecht.</w:t>
      </w:r>
    </w:p>
    <w:sectPr w:rsidR="002E17ED" w:rsidRPr="004F6779" w:rsidSect="004F6779">
      <w:type w:val="continuous"/>
      <w:pgSz w:w="11906" w:h="16838"/>
      <w:pgMar w:top="1701"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AA776" w14:textId="77777777" w:rsidR="00E33652" w:rsidRDefault="00E33652" w:rsidP="00720711">
      <w:pPr>
        <w:spacing w:line="240" w:lineRule="auto"/>
      </w:pPr>
      <w:r>
        <w:separator/>
      </w:r>
    </w:p>
  </w:endnote>
  <w:endnote w:type="continuationSeparator" w:id="0">
    <w:p w14:paraId="5E3EFE2C" w14:textId="77777777" w:rsidR="00E33652" w:rsidRDefault="00E33652" w:rsidP="00720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33DB" w14:textId="77777777" w:rsidR="00E33652" w:rsidRDefault="00E33652" w:rsidP="00720711">
      <w:pPr>
        <w:spacing w:line="240" w:lineRule="auto"/>
      </w:pPr>
      <w:r>
        <w:separator/>
      </w:r>
    </w:p>
  </w:footnote>
  <w:footnote w:type="continuationSeparator" w:id="0">
    <w:p w14:paraId="7668AC3E" w14:textId="77777777" w:rsidR="00E33652" w:rsidRDefault="00E33652" w:rsidP="00720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03AE" w14:textId="77777777" w:rsidR="00720711" w:rsidRDefault="00720711" w:rsidP="00720711">
    <w:pPr>
      <w:pStyle w:val="Koptekst"/>
    </w:pPr>
  </w:p>
  <w:p w14:paraId="02DFC131" w14:textId="05C1979F" w:rsidR="00720711" w:rsidRPr="00720711" w:rsidRDefault="00720711" w:rsidP="00720711">
    <w:pPr>
      <w:pStyle w:val="Kop1"/>
      <w:rPr>
        <w:rFonts w:ascii="Arial" w:hAnsi="Arial" w:cs="Arial"/>
        <w:noProof/>
        <w:sz w:val="52"/>
        <w:szCs w:val="52"/>
      </w:rPr>
    </w:pPr>
    <w:r w:rsidRPr="00D72504">
      <w:rPr>
        <w:noProof/>
      </w:rPr>
      <w:drawing>
        <wp:anchor distT="0" distB="0" distL="114300" distR="114300" simplePos="0" relativeHeight="251660288" behindDoc="1" locked="1" layoutInCell="1" allowOverlap="1" wp14:anchorId="5D033384" wp14:editId="5EDC2A11">
          <wp:simplePos x="0" y="0"/>
          <wp:positionH relativeFrom="page">
            <wp:posOffset>0</wp:posOffset>
          </wp:positionH>
          <wp:positionV relativeFrom="page">
            <wp:posOffset>9867900</wp:posOffset>
          </wp:positionV>
          <wp:extent cx="7555865" cy="819150"/>
          <wp:effectExtent l="0" t="0" r="0" b="0"/>
          <wp:wrapNone/>
          <wp:docPr id="819705571" name="Graphic 819705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5571" name="Graphic 81970557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t="92244" b="97"/>
                  <a:stretch/>
                </pic:blipFill>
                <pic:spPr bwMode="auto">
                  <a:xfrm>
                    <a:off x="0" y="0"/>
                    <a:ext cx="755586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504">
      <w:rPr>
        <w:noProof/>
      </w:rPr>
      <w:drawing>
        <wp:anchor distT="0" distB="0" distL="114300" distR="114300" simplePos="0" relativeHeight="251659264" behindDoc="1" locked="1" layoutInCell="1" allowOverlap="1" wp14:anchorId="3F46BA39" wp14:editId="1762F3B4">
          <wp:simplePos x="0" y="0"/>
          <wp:positionH relativeFrom="page">
            <wp:posOffset>0</wp:posOffset>
          </wp:positionH>
          <wp:positionV relativeFrom="page">
            <wp:posOffset>0</wp:posOffset>
          </wp:positionV>
          <wp:extent cx="7559675" cy="831215"/>
          <wp:effectExtent l="0" t="0" r="0" b="0"/>
          <wp:wrapNone/>
          <wp:docPr id="938779888" name="Graphic 938779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79888" name="Graphic 938779888">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b="92230"/>
                  <a:stretch/>
                </pic:blipFill>
                <pic:spPr bwMode="auto">
                  <a:xfrm>
                    <a:off x="0" y="0"/>
                    <a:ext cx="755967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0711">
      <w:rPr>
        <w:rFonts w:ascii="Arial" w:hAnsi="Arial" w:cs="Arial"/>
        <w:noProof/>
        <w:sz w:val="52"/>
        <w:szCs w:val="52"/>
      </w:rPr>
      <w:t>Motie</w:t>
    </w:r>
  </w:p>
  <w:p w14:paraId="49E45387" w14:textId="77777777" w:rsidR="00720711" w:rsidRDefault="007207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4E0"/>
    <w:multiLevelType w:val="hybridMultilevel"/>
    <w:tmpl w:val="4A1A2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8B6769"/>
    <w:multiLevelType w:val="hybridMultilevel"/>
    <w:tmpl w:val="DE2CE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B66E4B"/>
    <w:multiLevelType w:val="hybridMultilevel"/>
    <w:tmpl w:val="0464C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21517">
    <w:abstractNumId w:val="1"/>
  </w:num>
  <w:num w:numId="2" w16cid:durableId="533231573">
    <w:abstractNumId w:val="0"/>
  </w:num>
  <w:num w:numId="3" w16cid:durableId="212461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11"/>
    <w:rsid w:val="001211C4"/>
    <w:rsid w:val="002E17ED"/>
    <w:rsid w:val="003621AF"/>
    <w:rsid w:val="00390A90"/>
    <w:rsid w:val="00435819"/>
    <w:rsid w:val="004D175F"/>
    <w:rsid w:val="004F6779"/>
    <w:rsid w:val="005751B3"/>
    <w:rsid w:val="005936B8"/>
    <w:rsid w:val="00710110"/>
    <w:rsid w:val="00720711"/>
    <w:rsid w:val="00782D05"/>
    <w:rsid w:val="008003A4"/>
    <w:rsid w:val="008B54E6"/>
    <w:rsid w:val="00A4415C"/>
    <w:rsid w:val="00A94715"/>
    <w:rsid w:val="00C931F0"/>
    <w:rsid w:val="00D0573E"/>
    <w:rsid w:val="00DC1533"/>
    <w:rsid w:val="00E33652"/>
    <w:rsid w:val="00E93707"/>
    <w:rsid w:val="00F46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FBB"/>
  <w15:chartTrackingRefBased/>
  <w15:docId w15:val="{7487202C-A6DC-49A8-87D4-CDFCD28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0711"/>
    <w:pPr>
      <w:spacing w:after="0" w:line="300" w:lineRule="atLeast"/>
    </w:pPr>
    <w:rPr>
      <w:rFonts w:cstheme="majorHAnsi"/>
      <w:sz w:val="20"/>
      <w:szCs w:val="20"/>
    </w:rPr>
  </w:style>
  <w:style w:type="paragraph" w:styleId="Kop1">
    <w:name w:val="heading 1"/>
    <w:basedOn w:val="Standaard"/>
    <w:next w:val="Standaard"/>
    <w:link w:val="Kop1Char"/>
    <w:uiPriority w:val="6"/>
    <w:qFormat/>
    <w:rsid w:val="00720711"/>
    <w:pPr>
      <w:keepNext/>
      <w:keepLines/>
      <w:outlineLvl w:val="0"/>
    </w:pPr>
    <w:rPr>
      <w:rFonts w:asciiTheme="majorHAnsi" w:eastAsiaTheme="majorEastAsia" w:hAnsiTheme="majorHAnsi" w:cstheme="majorBidi"/>
      <w:b/>
      <w:i/>
      <w:color w:val="4472C4" w:themeColor="accent1"/>
      <w:sz w:val="6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Losser">
    <w:name w:val="Tabel_Losser"/>
    <w:basedOn w:val="Standaardtabel"/>
    <w:uiPriority w:val="99"/>
    <w:rsid w:val="00720711"/>
    <w:pPr>
      <w:spacing w:after="0" w:line="300" w:lineRule="atLeast"/>
    </w:pPr>
    <w:rPr>
      <w:rFonts w:cstheme="majorHAnsi"/>
      <w:sz w:val="20"/>
      <w:szCs w:val="20"/>
    </w:rPr>
    <w:tblPr>
      <w:tblStyleRowBandSize w:val="1"/>
      <w:tblCellMar>
        <w:left w:w="170" w:type="dxa"/>
        <w:bottom w:w="57" w:type="dxa"/>
        <w:right w:w="170" w:type="dxa"/>
      </w:tblCellMar>
    </w:tblPr>
    <w:tcPr>
      <w:shd w:val="clear" w:color="auto" w:fill="5B9BD5" w:themeFill="accent5"/>
    </w:tcPr>
    <w:tblStylePr w:type="firstRow">
      <w:rPr>
        <w:b/>
        <w:color w:val="FFFFFF" w:themeColor="background1"/>
        <w:sz w:val="16"/>
      </w:rPr>
      <w:tblPr/>
      <w:tcPr>
        <w:shd w:val="clear" w:color="auto" w:fill="4472C4" w:themeFill="accent1"/>
      </w:tcPr>
    </w:tblStylePr>
    <w:tblStylePr w:type="band2Horz">
      <w:tblPr/>
      <w:tcPr>
        <w:shd w:val="clear" w:color="auto" w:fill="A5A5A5" w:themeFill="accent3"/>
      </w:tcPr>
    </w:tblStylePr>
  </w:style>
  <w:style w:type="paragraph" w:styleId="Lijstalinea">
    <w:name w:val="List Paragraph"/>
    <w:basedOn w:val="Standaard"/>
    <w:uiPriority w:val="34"/>
    <w:rsid w:val="00720711"/>
    <w:pPr>
      <w:ind w:left="720"/>
      <w:contextualSpacing/>
    </w:pPr>
  </w:style>
  <w:style w:type="table" w:styleId="Rastertabel4-Accent1">
    <w:name w:val="Grid Table 4 Accent 1"/>
    <w:basedOn w:val="Standaardtabel"/>
    <w:uiPriority w:val="49"/>
    <w:rsid w:val="007207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7207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0711"/>
    <w:rPr>
      <w:rFonts w:cstheme="majorHAnsi"/>
      <w:sz w:val="20"/>
      <w:szCs w:val="20"/>
    </w:rPr>
  </w:style>
  <w:style w:type="paragraph" w:styleId="Voettekst">
    <w:name w:val="footer"/>
    <w:basedOn w:val="Standaard"/>
    <w:link w:val="VoettekstChar"/>
    <w:uiPriority w:val="99"/>
    <w:unhideWhenUsed/>
    <w:rsid w:val="007207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0711"/>
    <w:rPr>
      <w:rFonts w:cstheme="majorHAnsi"/>
      <w:sz w:val="20"/>
      <w:szCs w:val="20"/>
    </w:rPr>
  </w:style>
  <w:style w:type="character" w:customStyle="1" w:styleId="Kop1Char">
    <w:name w:val="Kop 1 Char"/>
    <w:basedOn w:val="Standaardalinea-lettertype"/>
    <w:link w:val="Kop1"/>
    <w:uiPriority w:val="6"/>
    <w:rsid w:val="00720711"/>
    <w:rPr>
      <w:rFonts w:asciiTheme="majorHAnsi" w:eastAsiaTheme="majorEastAsia" w:hAnsiTheme="majorHAnsi" w:cstheme="majorBidi"/>
      <w:b/>
      <w:i/>
      <w:color w:val="4472C4" w:themeColor="accent1"/>
      <w:sz w:val="6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8145">
      <w:bodyDiv w:val="1"/>
      <w:marLeft w:val="0"/>
      <w:marRight w:val="0"/>
      <w:marTop w:val="0"/>
      <w:marBottom w:val="0"/>
      <w:divBdr>
        <w:top w:val="none" w:sz="0" w:space="0" w:color="auto"/>
        <w:left w:val="none" w:sz="0" w:space="0" w:color="auto"/>
        <w:bottom w:val="none" w:sz="0" w:space="0" w:color="auto"/>
        <w:right w:val="none" w:sz="0" w:space="0" w:color="auto"/>
      </w:divBdr>
    </w:div>
    <w:div w:id="11992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618</Words>
  <Characters>3403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van Lagen</dc:creator>
  <cp:keywords/>
  <dc:description/>
  <cp:lastModifiedBy>Lies ter Haar</cp:lastModifiedBy>
  <cp:revision>3</cp:revision>
  <cp:lastPrinted>2023-11-30T13:20:00Z</cp:lastPrinted>
  <dcterms:created xsi:type="dcterms:W3CDTF">2024-10-14T09:26:00Z</dcterms:created>
  <dcterms:modified xsi:type="dcterms:W3CDTF">2024-10-14T13:30:00Z</dcterms:modified>
</cp:coreProperties>
</file>